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19AD" w:rsidRPr="005319AD" w:rsidRDefault="005319AD" w:rsidP="005319AD">
      <w:pPr>
        <w:autoSpaceDE w:val="0"/>
        <w:jc w:val="right"/>
        <w:rPr>
          <w:rFonts w:eastAsia="Century Gothic" w:cs="Times New Roman"/>
          <w:bCs/>
          <w:i/>
        </w:rPr>
      </w:pPr>
      <w:r w:rsidRPr="005319AD">
        <w:rPr>
          <w:rFonts w:eastAsia="Century Gothic" w:cs="Times New Roman"/>
          <w:bCs/>
          <w:i/>
        </w:rPr>
        <w:t xml:space="preserve">Załącznik nr </w:t>
      </w:r>
      <w:r>
        <w:rPr>
          <w:rFonts w:eastAsia="Century Gothic" w:cs="Times New Roman"/>
          <w:bCs/>
          <w:i/>
        </w:rPr>
        <w:t>2</w:t>
      </w:r>
    </w:p>
    <w:p w:rsidR="005319AD" w:rsidRPr="005319AD" w:rsidRDefault="005319AD" w:rsidP="005319AD">
      <w:pPr>
        <w:rPr>
          <w:rFonts w:cs="Times New Roman"/>
          <w:b/>
          <w:bCs/>
          <w:sz w:val="28"/>
          <w:szCs w:val="28"/>
          <w:u w:val="single"/>
        </w:rPr>
      </w:pPr>
      <w:r>
        <w:rPr>
          <w:rFonts w:cs="Times New Roman"/>
          <w:b/>
          <w:bCs/>
          <w:sz w:val="28"/>
          <w:szCs w:val="28"/>
          <w:u w:val="single"/>
        </w:rPr>
        <w:t>Zadanie nr 2</w:t>
      </w:r>
      <w:r w:rsidRPr="005319AD">
        <w:rPr>
          <w:rFonts w:cs="Times New Roman"/>
          <w:b/>
          <w:bCs/>
          <w:sz w:val="28"/>
          <w:szCs w:val="28"/>
          <w:u w:val="single"/>
        </w:rPr>
        <w:t xml:space="preserve">: </w:t>
      </w:r>
    </w:p>
    <w:p w:rsidR="002C1F59" w:rsidRPr="00BF1934" w:rsidRDefault="002C1F59" w:rsidP="002C1F59">
      <w:pPr>
        <w:autoSpaceDE w:val="0"/>
        <w:jc w:val="both"/>
        <w:rPr>
          <w:rFonts w:cs="Times New Roman"/>
        </w:rPr>
      </w:pPr>
    </w:p>
    <w:p w:rsidR="002C1F59" w:rsidRPr="00BF1934" w:rsidRDefault="002C1F59" w:rsidP="002C1F59">
      <w:pPr>
        <w:jc w:val="both"/>
        <w:rPr>
          <w:rFonts w:cs="Times New Roman"/>
          <w:b/>
        </w:rPr>
      </w:pPr>
      <w:r w:rsidRPr="00BF1934">
        <w:rPr>
          <w:rFonts w:cs="Times New Roman"/>
          <w:b/>
          <w:bCs/>
        </w:rPr>
        <w:t xml:space="preserve">Oddymianie klatek schodowych w budynku nr 19 Wojewódzkiego Szpitala dla Nerwowo i Psychicznie Chorych im. dra Józefa Bednarza, </w:t>
      </w:r>
      <w:r w:rsidRPr="00BF1934">
        <w:rPr>
          <w:rFonts w:cs="Times New Roman"/>
          <w:b/>
        </w:rPr>
        <w:t>Świecie, ul. Sądowa 18, dz. nr 882/4, obręb 0001 Świecie.</w:t>
      </w:r>
    </w:p>
    <w:p w:rsidR="002C1F59" w:rsidRDefault="002C1F59" w:rsidP="002C1F59">
      <w:pPr>
        <w:jc w:val="both"/>
        <w:rPr>
          <w:rFonts w:cs="Times New Roman"/>
        </w:rPr>
      </w:pPr>
    </w:p>
    <w:p w:rsidR="005319AD" w:rsidRPr="00BF1934" w:rsidRDefault="005319AD" w:rsidP="005319AD">
      <w:pPr>
        <w:autoSpaceDE w:val="0"/>
        <w:jc w:val="both"/>
        <w:rPr>
          <w:rFonts w:eastAsia="Century Gothic" w:cs="Times New Roman"/>
          <w:b/>
          <w:bCs/>
          <w:u w:val="single"/>
        </w:rPr>
      </w:pPr>
      <w:r w:rsidRPr="00BF1934">
        <w:rPr>
          <w:rFonts w:eastAsia="Century Gothic" w:cs="Times New Roman"/>
          <w:b/>
          <w:bCs/>
          <w:u w:val="single"/>
        </w:rPr>
        <w:t>Budynek nr 19 – Pawilon X/VII</w:t>
      </w:r>
    </w:p>
    <w:p w:rsidR="005319AD" w:rsidRPr="00BF1934" w:rsidRDefault="005319AD" w:rsidP="002C1F59">
      <w:pPr>
        <w:jc w:val="both"/>
        <w:rPr>
          <w:rFonts w:cs="Times New Roman"/>
        </w:rPr>
      </w:pPr>
    </w:p>
    <w:p w:rsidR="002C1F59" w:rsidRPr="00BF1934" w:rsidRDefault="002C1F59" w:rsidP="00F03B93">
      <w:pPr>
        <w:pStyle w:val="Default"/>
        <w:numPr>
          <w:ilvl w:val="0"/>
          <w:numId w:val="7"/>
        </w:numPr>
        <w:jc w:val="both"/>
        <w:rPr>
          <w:rFonts w:ascii="Times New Roman" w:hAnsi="Times New Roman" w:cs="Times New Roman"/>
          <w:u w:val="single"/>
        </w:rPr>
      </w:pPr>
      <w:r w:rsidRPr="00BF1934">
        <w:rPr>
          <w:rFonts w:ascii="Times New Roman" w:hAnsi="Times New Roman" w:cs="Times New Roman"/>
          <w:b/>
          <w:bCs/>
          <w:iCs/>
          <w:u w:val="single"/>
        </w:rPr>
        <w:t xml:space="preserve">Charakterystyka obiektu </w:t>
      </w:r>
    </w:p>
    <w:p w:rsidR="002C1F59" w:rsidRPr="00BF1934" w:rsidRDefault="002C1F59" w:rsidP="00BF1934">
      <w:pPr>
        <w:pStyle w:val="Default"/>
        <w:jc w:val="both"/>
        <w:rPr>
          <w:rFonts w:ascii="Times New Roman" w:hAnsi="Times New Roman" w:cs="Times New Roman"/>
        </w:rPr>
      </w:pPr>
      <w:r w:rsidRPr="00BF1934">
        <w:rPr>
          <w:rFonts w:ascii="Times New Roman" w:hAnsi="Times New Roman" w:cs="Times New Roman"/>
        </w:rPr>
        <w:t xml:space="preserve">Remontowany budynek położony jest w Świeciu przy ul. Sądowej 18 na działce oznaczonej </w:t>
      </w:r>
      <w:proofErr w:type="spellStart"/>
      <w:r w:rsidRPr="00BF1934">
        <w:rPr>
          <w:rFonts w:ascii="Times New Roman" w:hAnsi="Times New Roman" w:cs="Times New Roman"/>
        </w:rPr>
        <w:t>nr</w:t>
      </w:r>
      <w:proofErr w:type="spellEnd"/>
      <w:r w:rsidRPr="00BF1934">
        <w:rPr>
          <w:rFonts w:ascii="Times New Roman" w:hAnsi="Times New Roman" w:cs="Times New Roman"/>
        </w:rPr>
        <w:t xml:space="preserve">. </w:t>
      </w:r>
      <w:proofErr w:type="spellStart"/>
      <w:r w:rsidRPr="00BF1934">
        <w:rPr>
          <w:rFonts w:ascii="Times New Roman" w:hAnsi="Times New Roman" w:cs="Times New Roman"/>
        </w:rPr>
        <w:t>ewid</w:t>
      </w:r>
      <w:proofErr w:type="spellEnd"/>
      <w:r w:rsidRPr="00BF1934">
        <w:rPr>
          <w:rFonts w:ascii="Times New Roman" w:hAnsi="Times New Roman" w:cs="Times New Roman"/>
        </w:rPr>
        <w:t xml:space="preserve">. 882/4. Obecnie pełni funkcje budynku użyteczności publicznej. W budynku znajduje się oddział </w:t>
      </w:r>
      <w:proofErr w:type="spellStart"/>
      <w:r w:rsidRPr="00BF1934">
        <w:rPr>
          <w:rFonts w:ascii="Times New Roman" w:hAnsi="Times New Roman" w:cs="Times New Roman"/>
        </w:rPr>
        <w:t>ogólnopsychiatryczny</w:t>
      </w:r>
      <w:proofErr w:type="spellEnd"/>
      <w:r w:rsidRPr="00BF1934">
        <w:rPr>
          <w:rFonts w:ascii="Times New Roman" w:hAnsi="Times New Roman" w:cs="Times New Roman"/>
        </w:rPr>
        <w:t xml:space="preserve"> Wojewódzkiego Szpitala dla Nerwowo i Psychicznie Chorych. </w:t>
      </w:r>
    </w:p>
    <w:p w:rsidR="002C1F59" w:rsidRPr="00BF1934" w:rsidRDefault="002C1F59" w:rsidP="00BF1934">
      <w:pPr>
        <w:pStyle w:val="Default"/>
        <w:jc w:val="both"/>
        <w:rPr>
          <w:rFonts w:ascii="Times New Roman" w:hAnsi="Times New Roman" w:cs="Times New Roman"/>
        </w:rPr>
      </w:pPr>
      <w:r w:rsidRPr="00BF1934">
        <w:rPr>
          <w:rFonts w:ascii="Times New Roman" w:hAnsi="Times New Roman" w:cs="Times New Roman"/>
        </w:rPr>
        <w:t xml:space="preserve">Budynek 19 jest budynkiem 2-kondygnacyjnym z poddaszem nieużytkowym, częściowo podpiwniczonym. Budynek składa się z trzech części: głównej oraz z dwóch bocznych klatek schodowych. Budynek o wysokości poniżej 12m, co kwalifikuje go do budynków niskich. </w:t>
      </w:r>
    </w:p>
    <w:p w:rsidR="002C1F59" w:rsidRPr="00BF1934" w:rsidRDefault="002C1F59" w:rsidP="00BF1934">
      <w:pPr>
        <w:pStyle w:val="Default"/>
        <w:jc w:val="both"/>
        <w:rPr>
          <w:rFonts w:ascii="Times New Roman" w:hAnsi="Times New Roman" w:cs="Times New Roman"/>
        </w:rPr>
      </w:pPr>
      <w:r w:rsidRPr="00BF1934">
        <w:rPr>
          <w:rFonts w:ascii="Times New Roman" w:hAnsi="Times New Roman" w:cs="Times New Roman"/>
        </w:rPr>
        <w:t xml:space="preserve">Konstrukcja budynku tradycyjna, murowana, na kamiennych i murowanych fundamentach. Ściany piwnic z cegły ceramicznej pełnej. Ściany kondygnacji naziemnych murowane z cegły ceramicznej pełnej, na zaprawie wapiennej, nieotynkowane od zewnątrz. Wewnątrz wykończone tynkiem. </w:t>
      </w:r>
    </w:p>
    <w:p w:rsidR="002C1F59" w:rsidRPr="00BF1934" w:rsidRDefault="002C1F59" w:rsidP="00BF1934">
      <w:pPr>
        <w:jc w:val="both"/>
        <w:rPr>
          <w:rFonts w:cs="Times New Roman"/>
        </w:rPr>
      </w:pPr>
      <w:r w:rsidRPr="00BF1934">
        <w:rPr>
          <w:rFonts w:cs="Times New Roman"/>
        </w:rPr>
        <w:t>Więźba dachu drewniana. Kształt dachu wielospadowy, nad bocznymi klatkami schodowymi - dwuspadowy. Obiekt pokryty jest dachówką ceramiczną.</w:t>
      </w:r>
    </w:p>
    <w:p w:rsidR="002C1F59" w:rsidRPr="00BF1934" w:rsidRDefault="002C1F59" w:rsidP="00F03B93">
      <w:pPr>
        <w:pStyle w:val="Default"/>
        <w:numPr>
          <w:ilvl w:val="0"/>
          <w:numId w:val="7"/>
        </w:numPr>
        <w:jc w:val="both"/>
        <w:rPr>
          <w:rFonts w:ascii="Times New Roman" w:hAnsi="Times New Roman" w:cs="Times New Roman"/>
          <w:u w:val="single"/>
        </w:rPr>
      </w:pPr>
      <w:r w:rsidRPr="00BF1934">
        <w:rPr>
          <w:rFonts w:ascii="Times New Roman" w:hAnsi="Times New Roman" w:cs="Times New Roman"/>
          <w:b/>
          <w:bCs/>
          <w:iCs/>
          <w:u w:val="single"/>
        </w:rPr>
        <w:t xml:space="preserve">Opis przyjętych rozwiązań dla wymiany stolarki </w:t>
      </w:r>
    </w:p>
    <w:p w:rsidR="00F03B93" w:rsidRPr="00BF1934" w:rsidRDefault="002C1F59" w:rsidP="002C1F59">
      <w:pPr>
        <w:pStyle w:val="Default"/>
        <w:jc w:val="both"/>
        <w:rPr>
          <w:rFonts w:ascii="Times New Roman" w:hAnsi="Times New Roman" w:cs="Times New Roman"/>
        </w:rPr>
      </w:pPr>
      <w:r w:rsidRPr="00BF1934">
        <w:rPr>
          <w:rFonts w:ascii="Times New Roman" w:hAnsi="Times New Roman" w:cs="Times New Roman"/>
        </w:rPr>
        <w:t xml:space="preserve">W ramach przedsięwzięć przystosowawczych przewiduje się: </w:t>
      </w:r>
    </w:p>
    <w:p w:rsidR="002C1F59" w:rsidRPr="00BF1934" w:rsidRDefault="00515DFD" w:rsidP="002C1F59">
      <w:pPr>
        <w:pStyle w:val="Default"/>
        <w:jc w:val="both"/>
        <w:rPr>
          <w:rFonts w:ascii="Times New Roman" w:hAnsi="Times New Roman" w:cs="Times New Roman"/>
          <w:b/>
        </w:rPr>
      </w:pPr>
      <w:r w:rsidRPr="00BF1934">
        <w:rPr>
          <w:rFonts w:ascii="Times New Roman" w:hAnsi="Times New Roman" w:cs="Times New Roman"/>
          <w:b/>
        </w:rPr>
        <w:t>2.1</w:t>
      </w:r>
      <w:r w:rsidR="002C1F59" w:rsidRPr="00BF1934">
        <w:rPr>
          <w:rFonts w:ascii="Times New Roman" w:hAnsi="Times New Roman" w:cs="Times New Roman"/>
          <w:b/>
        </w:rPr>
        <w:t xml:space="preserve"> w klatce K1 i K3: </w:t>
      </w:r>
    </w:p>
    <w:p w:rsidR="002C1F59" w:rsidRPr="00BF1934" w:rsidRDefault="002C1F59" w:rsidP="002C1F59">
      <w:pPr>
        <w:pStyle w:val="Default"/>
        <w:jc w:val="both"/>
        <w:rPr>
          <w:rFonts w:ascii="Times New Roman" w:hAnsi="Times New Roman" w:cs="Times New Roman"/>
        </w:rPr>
      </w:pPr>
      <w:r w:rsidRPr="00BF1934">
        <w:rPr>
          <w:rFonts w:ascii="Times New Roman" w:hAnsi="Times New Roman" w:cs="Times New Roman"/>
        </w:rPr>
        <w:t xml:space="preserve">- demontaż drzwi wejściowych, montaż nowych drzwi o skrzydle otwieralnym 120/205, drzwi wyposażyć w samozamykacz z funkcją blokady i siłownik elektryczny, </w:t>
      </w:r>
    </w:p>
    <w:p w:rsidR="002C1F59" w:rsidRPr="00BF1934" w:rsidRDefault="002C1F59" w:rsidP="002C1F59">
      <w:pPr>
        <w:pStyle w:val="Default"/>
        <w:jc w:val="both"/>
        <w:rPr>
          <w:rFonts w:ascii="Times New Roman" w:hAnsi="Times New Roman" w:cs="Times New Roman"/>
        </w:rPr>
      </w:pPr>
      <w:r w:rsidRPr="00BF1934">
        <w:rPr>
          <w:rFonts w:ascii="Times New Roman" w:hAnsi="Times New Roman" w:cs="Times New Roman"/>
        </w:rPr>
        <w:t xml:space="preserve">- montaż drzwi do piwnicy w klasie odporności EI30, </w:t>
      </w:r>
    </w:p>
    <w:p w:rsidR="00237E99" w:rsidRPr="00BF1934" w:rsidRDefault="002C1F59" w:rsidP="002C1F59">
      <w:pPr>
        <w:jc w:val="both"/>
        <w:rPr>
          <w:rFonts w:cs="Times New Roman"/>
        </w:rPr>
      </w:pPr>
      <w:r w:rsidRPr="00BF1934">
        <w:rPr>
          <w:rFonts w:cs="Times New Roman"/>
        </w:rPr>
        <w:t>- montaż drzwi na oddziały o skrzydle otwieralnym 90/205, drzwi wyposażone w samozamykacz, kl. odporności EI30 - montaż okna oddymiającego na 1piętrze o minimalnej powierzchni czynnej oddymiania 1,3m2;</w:t>
      </w:r>
    </w:p>
    <w:p w:rsidR="002C1F59" w:rsidRPr="00BF1934" w:rsidRDefault="00515DFD" w:rsidP="002C1F59">
      <w:pPr>
        <w:pStyle w:val="Default"/>
        <w:jc w:val="both"/>
        <w:rPr>
          <w:rFonts w:ascii="Times New Roman" w:hAnsi="Times New Roman" w:cs="Times New Roman"/>
          <w:b/>
        </w:rPr>
      </w:pPr>
      <w:r w:rsidRPr="00BF1934">
        <w:rPr>
          <w:rFonts w:ascii="Times New Roman" w:hAnsi="Times New Roman" w:cs="Times New Roman"/>
          <w:b/>
        </w:rPr>
        <w:t>2.2</w:t>
      </w:r>
      <w:r w:rsidR="002C1F59" w:rsidRPr="00BF1934">
        <w:rPr>
          <w:rFonts w:ascii="Times New Roman" w:hAnsi="Times New Roman" w:cs="Times New Roman"/>
          <w:b/>
        </w:rPr>
        <w:t xml:space="preserve"> w klatce K2: </w:t>
      </w:r>
    </w:p>
    <w:p w:rsidR="002C1F59" w:rsidRPr="00BF1934" w:rsidRDefault="002C1F59" w:rsidP="002C1F59">
      <w:pPr>
        <w:pStyle w:val="Default"/>
        <w:jc w:val="both"/>
        <w:rPr>
          <w:rFonts w:ascii="Times New Roman" w:hAnsi="Times New Roman" w:cs="Times New Roman"/>
        </w:rPr>
      </w:pPr>
      <w:r w:rsidRPr="00BF1934">
        <w:rPr>
          <w:rFonts w:ascii="Times New Roman" w:hAnsi="Times New Roman" w:cs="Times New Roman"/>
        </w:rPr>
        <w:t xml:space="preserve">- demontaż drzwi wejściowych, montaż nowych drzwi o skrzydle otwieralnym 120/205, drzwi wyposażyć w samozamykacz z funkcją blokady i siłownik elektryczny, </w:t>
      </w:r>
    </w:p>
    <w:p w:rsidR="002C1F59" w:rsidRPr="00BF1934" w:rsidRDefault="002C1F59" w:rsidP="002C1F59">
      <w:pPr>
        <w:jc w:val="both"/>
        <w:rPr>
          <w:rFonts w:cs="Times New Roman"/>
        </w:rPr>
      </w:pPr>
      <w:r w:rsidRPr="00BF1934">
        <w:rPr>
          <w:rFonts w:cs="Times New Roman"/>
        </w:rPr>
        <w:t>- montaż drzwi na oddziały o skrzydle otwieralnym 90/205, drzwi wyposażone w samozamykacz, kl. odporności EI30 - montaż okna oddymiającego na 2piętrze o minimalnej powierzchni czynnej oddymiania 1,2m2;</w:t>
      </w:r>
    </w:p>
    <w:p w:rsidR="00515DFD" w:rsidRPr="00BF1934" w:rsidRDefault="00515DFD" w:rsidP="002C1F59">
      <w:pPr>
        <w:jc w:val="both"/>
        <w:rPr>
          <w:rFonts w:cs="Times New Roman"/>
        </w:rPr>
      </w:pPr>
    </w:p>
    <w:p w:rsidR="00515DFD" w:rsidRPr="00BF1934" w:rsidRDefault="00515DFD" w:rsidP="00BF1934">
      <w:pPr>
        <w:jc w:val="both"/>
        <w:rPr>
          <w:rFonts w:cs="Times New Roman"/>
          <w:b/>
          <w:bCs/>
          <w:iCs/>
        </w:rPr>
      </w:pPr>
      <w:r w:rsidRPr="00BF1934">
        <w:rPr>
          <w:rFonts w:cs="Times New Roman"/>
          <w:b/>
          <w:bCs/>
          <w:iCs/>
        </w:rPr>
        <w:t>3</w:t>
      </w:r>
      <w:r w:rsidRPr="00BF1934">
        <w:rPr>
          <w:rFonts w:cs="Times New Roman"/>
          <w:b/>
          <w:bCs/>
          <w:iCs/>
          <w:u w:val="single"/>
        </w:rPr>
        <w:t>. Opis przyjętych rozwiązań dla instalacji elektrycznych</w:t>
      </w:r>
    </w:p>
    <w:p w:rsidR="00BF1934" w:rsidRPr="00BF1934" w:rsidRDefault="00515DFD" w:rsidP="00BF1934">
      <w:pPr>
        <w:widowControl/>
        <w:suppressAutoHyphens w:val="0"/>
        <w:autoSpaceDE w:val="0"/>
        <w:autoSpaceDN w:val="0"/>
        <w:adjustRightInd w:val="0"/>
        <w:jc w:val="both"/>
        <w:rPr>
          <w:rFonts w:eastAsia="Times New Roman" w:cs="Times New Roman"/>
          <w:b/>
          <w:bCs/>
          <w:kern w:val="0"/>
          <w:lang w:eastAsia="pl-PL" w:bidi="ar-SA"/>
        </w:rPr>
      </w:pPr>
      <w:r w:rsidRPr="00BF1934">
        <w:rPr>
          <w:rFonts w:cs="Times New Roman"/>
          <w:b/>
          <w:bCs/>
          <w:iCs/>
        </w:rPr>
        <w:t xml:space="preserve">3.1 </w:t>
      </w:r>
      <w:r w:rsidRPr="00BF1934">
        <w:rPr>
          <w:rFonts w:eastAsia="Times New Roman" w:cs="Times New Roman"/>
          <w:b/>
          <w:bCs/>
          <w:kern w:val="0"/>
          <w:lang w:eastAsia="pl-PL" w:bidi="ar-SA"/>
        </w:rPr>
        <w:t>Zakres opracowania</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W zakres projektu wchodzi wykonanie:</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NewRoman" w:cs="Times New Roman"/>
          <w:kern w:val="0"/>
          <w:lang w:eastAsia="pl-PL" w:bidi="ar-SA"/>
        </w:rPr>
        <w:t xml:space="preserve">- </w:t>
      </w:r>
      <w:r w:rsidRPr="00BF1934">
        <w:rPr>
          <w:rFonts w:eastAsia="Times New Roman" w:cs="Times New Roman"/>
          <w:kern w:val="0"/>
          <w:lang w:eastAsia="pl-PL" w:bidi="ar-SA"/>
        </w:rPr>
        <w:t xml:space="preserve">Wykonanie zasilania projektowanej rozdzielnicy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NewRoman" w:cs="Times New Roman"/>
          <w:kern w:val="0"/>
          <w:lang w:eastAsia="pl-PL" w:bidi="ar-SA"/>
        </w:rPr>
        <w:t xml:space="preserve">- </w:t>
      </w:r>
      <w:r w:rsidRPr="00BF1934">
        <w:rPr>
          <w:rFonts w:eastAsia="Times New Roman" w:cs="Times New Roman"/>
          <w:kern w:val="0"/>
          <w:lang w:eastAsia="pl-PL" w:bidi="ar-SA"/>
        </w:rPr>
        <w:t>Wykonanie zasilania centralek systemu oddymiania,</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NewRoman" w:cs="Times New Roman"/>
          <w:kern w:val="0"/>
          <w:lang w:eastAsia="pl-PL" w:bidi="ar-SA"/>
        </w:rPr>
        <w:t xml:space="preserve">- </w:t>
      </w:r>
      <w:r w:rsidRPr="00BF1934">
        <w:rPr>
          <w:rFonts w:eastAsia="Times New Roman" w:cs="Times New Roman"/>
          <w:kern w:val="0"/>
          <w:lang w:eastAsia="pl-PL" w:bidi="ar-SA"/>
        </w:rPr>
        <w:t>Wykonanie zasilania centralek zamków elektromotorycznych,</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NewRoman" w:cs="Times New Roman"/>
          <w:kern w:val="0"/>
          <w:lang w:eastAsia="pl-PL" w:bidi="ar-SA"/>
        </w:rPr>
        <w:t xml:space="preserve">- </w:t>
      </w:r>
      <w:r w:rsidRPr="00BF1934">
        <w:rPr>
          <w:rFonts w:eastAsia="Times New Roman" w:cs="Times New Roman"/>
          <w:kern w:val="0"/>
          <w:lang w:eastAsia="pl-PL" w:bidi="ar-SA"/>
        </w:rPr>
        <w:t>Instalacji elementów systemu odymiania,</w:t>
      </w:r>
    </w:p>
    <w:p w:rsidR="00BF1934" w:rsidRPr="00BF1934" w:rsidRDefault="00BF1934" w:rsidP="00BF1934">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 Rozwiązania techniczne projektowanych instalacji</w:t>
      </w:r>
    </w:p>
    <w:p w:rsidR="00BF1934" w:rsidRPr="00BF1934" w:rsidRDefault="00BF1934" w:rsidP="00BF1934">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3.2.1. Zasilanie i rozdzielnice główne</w:t>
      </w:r>
    </w:p>
    <w:p w:rsidR="00515DFD"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 xml:space="preserve">W budynku zlokalizowana jest rozdzielnica główna. W rozdzielnicy sprzed wyłącznika należy wyprowadzić zasilanie tymczasowe dla projektowanej rozdzielnicy zabezpieczeń pożarowych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 xml:space="preserve">. Docelowo w budynku zostanie zmodernizowany układ zasilania. Jeżeli w budynku układ zasilania został zmodernizowany zasilanie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 xml:space="preserve"> należy wykonać ze złącza kablowego zgodnie z rys. EL3-001. Rozdzielnicę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 xml:space="preserve"> projektuje się jako szafkę natynkową w wykonaniu ognioodpornym EI90. Lokalizację rozdzielnicy należy ustalić z Inwestorem na etapie realizacji.</w:t>
      </w:r>
    </w:p>
    <w:p w:rsidR="00BF1934" w:rsidRPr="00BF1934" w:rsidRDefault="00BF1934" w:rsidP="00BF1934">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lastRenderedPageBreak/>
        <w:t>3.2.2. Zasilanie centralek systemu oddymiania i zamków elektromotorycznych.</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 xml:space="preserve">Z projektowanej rozdzielnicy zabezpieczeń pożarowych </w:t>
      </w:r>
      <w:proofErr w:type="spellStart"/>
      <w:r w:rsidRPr="00BF1934">
        <w:rPr>
          <w:rFonts w:eastAsia="Times New Roman" w:cs="Times New Roman"/>
          <w:kern w:val="0"/>
          <w:lang w:eastAsia="pl-PL" w:bidi="ar-SA"/>
        </w:rPr>
        <w:t>RG-POŻ</w:t>
      </w:r>
      <w:proofErr w:type="spellEnd"/>
      <w:r w:rsidRPr="00BF1934">
        <w:rPr>
          <w:rFonts w:eastAsia="Times New Roman" w:cs="Times New Roman"/>
          <w:kern w:val="0"/>
          <w:lang w:eastAsia="pl-PL" w:bidi="ar-SA"/>
        </w:rPr>
        <w:t xml:space="preserve"> należy wykonać kablami niepalnymi zasilanie dla centralek systemów oddymiania klatek schodowych oraz centralek zamków elektromotorycznych. W rozdzielnicy należy zainstalować rezerwowe aparaty dla zasilania innych elementów zabezpieczeń pożarowych np. centralki systemu SSP. Lokalizacja centralek pokazana została na planach instalacji.</w:t>
      </w:r>
    </w:p>
    <w:p w:rsidR="00BF1934" w:rsidRPr="00BF1934" w:rsidRDefault="00BF1934" w:rsidP="00BF1934">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3.2.3. Instalacje systemu oddymiania klatek schodowych.</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System oddymiania składa się z centralki systemu oddymiania COD, czujek optycznych dymu, przycisków oddymiania i przewietrzania, siłowników i napędów okien i drzwi. Po wykryciu dymu przez czujki oddymiania następuje procedura oddymiania, centralka oddymiania uruchamia siłowniki okien i drzwi w celu ich otwarcia i usunięcia zadymienia z klatki schodowej. W celu prawidłowego działania systemu na drzwiach wejściowych należy dodatkowo zainstalować zamek elektromotoryczny, który odblokuje drzwi w celu ich otwarcia. Zamek elektromotoryczny współpracuje z dedykowaną centralką, którą należy zainstalować w pobliżu drzwi. Centralka systemu oddymiania wysyła sygnał do centralki zamka po uruchomieniu procedury oddymiania. Procedurę oddymiania można także zainicjować poprzez przyciski oddymiania zainstalowane na każdej kondygnacji. W związku z koniecznością otwarcia okien służących do oddymiania także w celu przewietrzenia klatki zaprojektowano przyciski oddymiania z funkcją przewietrzania, po wciśnięciu przycisku otwórz oznaczonego strzałką w górę możliwe jest otwarcie okna, przyciśnięcie przycisku ze strzałką dół zamyka okno. System wyposażono także w czujniki deszczu, który uniemożliwi otwarcie okna w trakcie złych warunków pogodowych. Czujnik deszczu nie jest aktywny gdy zainicjowana zostanie procedura oddymiania.</w:t>
      </w:r>
    </w:p>
    <w:p w:rsidR="00BF1934" w:rsidRPr="00BF1934" w:rsidRDefault="00BF1934" w:rsidP="00BF1934">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3.2.4. Układanie przewodów</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 xml:space="preserve">Wszystkie projektowane instalacje należy układać w rurkach grubościennych z materiału </w:t>
      </w:r>
      <w:proofErr w:type="spellStart"/>
      <w:r w:rsidRPr="00BF1934">
        <w:rPr>
          <w:rFonts w:eastAsia="Times New Roman" w:cs="Times New Roman"/>
          <w:kern w:val="0"/>
          <w:lang w:eastAsia="pl-PL" w:bidi="ar-SA"/>
        </w:rPr>
        <w:t>bezhalogenowego</w:t>
      </w:r>
      <w:proofErr w:type="spellEnd"/>
      <w:r w:rsidRPr="00BF1934">
        <w:rPr>
          <w:rFonts w:eastAsia="Times New Roman" w:cs="Times New Roman"/>
          <w:kern w:val="0"/>
          <w:lang w:eastAsia="pl-PL" w:bidi="ar-SA"/>
        </w:rPr>
        <w:t xml:space="preserve"> pod tynkiem. Połączenia należy wykonywać w puszkach rozgałęźnych instalowanych natynkowo. Typy zastosowanych przewodów opisano na schemacie blokowym systemu oddymiania. We wszystkich przejściach przez ściany oddzieleń pożarowych należy stosować przepusty systemowe zapewniające wymagany poziom zabezpieczenia ogniowego. Należy stosować rozwiązania systemowe.</w:t>
      </w:r>
    </w:p>
    <w:p w:rsidR="00BF1934" w:rsidRPr="00BF1934" w:rsidRDefault="00BF1934" w:rsidP="00BF1934">
      <w:pPr>
        <w:widowControl/>
        <w:suppressAutoHyphens w:val="0"/>
        <w:autoSpaceDE w:val="0"/>
        <w:autoSpaceDN w:val="0"/>
        <w:adjustRightInd w:val="0"/>
        <w:jc w:val="both"/>
        <w:rPr>
          <w:rFonts w:eastAsia="Times New Roman" w:cs="Times New Roman"/>
          <w:b/>
          <w:bCs/>
          <w:kern w:val="0"/>
          <w:lang w:eastAsia="pl-PL" w:bidi="ar-SA"/>
        </w:rPr>
      </w:pPr>
      <w:r w:rsidRPr="00BF1934">
        <w:rPr>
          <w:rFonts w:eastAsia="Times New Roman" w:cs="Times New Roman"/>
          <w:b/>
          <w:bCs/>
          <w:kern w:val="0"/>
          <w:lang w:eastAsia="pl-PL" w:bidi="ar-SA"/>
        </w:rPr>
        <w:t>3.2.5. Uwagi końcowe dotyczące instalacji</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Całość instalacji wykonać zgodnie z obowiązującymi przepisami dotyczącymi wykonywania i eksploatacji urządzeń elektrycznych w szczególności przytoczonymi w p. 1.2 i 1.3 projektu technicznego. Podczas wykonywania robót przestrzegać zasad bezpiecznego wykonywania prac. Po wykonaniu instalacji należy wykonać pomiary izolacji i skuteczności ochrony przeciwporażeniowej potwierdzone protokółami. Wykonawca przed wbudowaniem materiałów przedstawi wymagane certyfikaty lub deklaracje zgodności inspektorowi nadzoru inwestorskiego. Poprawność wykonania instalacji należy potwierdzić po zakończeniu robót pomiarami izolacji, oraz skuteczności ochrony przeciwporażeniowej. Wykonawca zobowiązany jest dostarczyć kompletną i zgodną z rzeczywistością dokumentację powykonawczą wraz z instrukcją użytkowania i konserwacji systemów. Poprawność wykonania instalacji należy potwierdzić po zakończeniu robót pomiarami wynikającymi z normy PN HD 60364-6.</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UWAGA:</w:t>
      </w:r>
    </w:p>
    <w:p w:rsidR="00BF1934" w:rsidRPr="00BF1934" w:rsidRDefault="00BF1934" w:rsidP="00BF1934">
      <w:pPr>
        <w:widowControl/>
        <w:suppressAutoHyphens w:val="0"/>
        <w:autoSpaceDE w:val="0"/>
        <w:autoSpaceDN w:val="0"/>
        <w:adjustRightInd w:val="0"/>
        <w:jc w:val="both"/>
        <w:rPr>
          <w:rFonts w:eastAsia="Times New Roman" w:cs="Times New Roman"/>
          <w:kern w:val="0"/>
          <w:lang w:eastAsia="pl-PL" w:bidi="ar-SA"/>
        </w:rPr>
      </w:pPr>
      <w:r w:rsidRPr="00BF1934">
        <w:rPr>
          <w:rFonts w:eastAsia="Times New Roman" w:cs="Times New Roman"/>
          <w:kern w:val="0"/>
          <w:lang w:eastAsia="pl-PL" w:bidi="ar-SA"/>
        </w:rPr>
        <w:t>W przedsionkach pożarowych oraz innych miejscach wyznaczonych w operacie</w:t>
      </w:r>
    </w:p>
    <w:p w:rsidR="00BF1934" w:rsidRPr="00BF1934" w:rsidRDefault="00BF1934" w:rsidP="00BF1934">
      <w:pPr>
        <w:widowControl/>
        <w:suppressAutoHyphens w:val="0"/>
        <w:autoSpaceDE w:val="0"/>
        <w:autoSpaceDN w:val="0"/>
        <w:adjustRightInd w:val="0"/>
        <w:jc w:val="both"/>
        <w:rPr>
          <w:rFonts w:cs="Times New Roman"/>
        </w:rPr>
      </w:pPr>
      <w:r w:rsidRPr="00BF1934">
        <w:rPr>
          <w:rFonts w:eastAsia="Times New Roman" w:cs="Times New Roman"/>
          <w:kern w:val="0"/>
          <w:lang w:eastAsia="pl-PL" w:bidi="ar-SA"/>
        </w:rPr>
        <w:t>pożarowym należy unikać prowadzenia kabli, a jeśli to jest niemożliwe należy stosować kable o odporności ogniowej min. EI60, lub kable obudować pożarowo z zastosowaniem certyfikowanych obudów np. PROMAT.</w:t>
      </w:r>
    </w:p>
    <w:sectPr w:rsidR="00BF1934" w:rsidRPr="00BF1934" w:rsidSect="00951B88">
      <w:pgSz w:w="11906" w:h="16838"/>
      <w:pgMar w:top="1134" w:right="1134" w:bottom="1134" w:left="1134" w:header="708" w:footer="708"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 w:name="TimesNewRoman">
    <w:altName w:val="MS Mincho"/>
    <w:charset w:val="80"/>
    <w:family w:val="auto"/>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RTF_Num 2"/>
    <w:lvl w:ilvl="0">
      <w:start w:val="1"/>
      <w:numFmt w:val="none"/>
      <w:suff w:val="nothing"/>
      <w:lvlText w:val="·"/>
      <w:lvlJc w:val="left"/>
      <w:pPr>
        <w:tabs>
          <w:tab w:val="num" w:pos="360"/>
        </w:tabs>
        <w:ind w:left="360" w:hanging="360"/>
      </w:pPr>
      <w:rPr>
        <w:rFonts w:ascii="Symbol" w:hAnsi="Symbol"/>
      </w:rPr>
    </w:lvl>
  </w:abstractNum>
  <w:abstractNum w:abstractNumId="1">
    <w:nsid w:val="00000002"/>
    <w:multiLevelType w:val="singleLevel"/>
    <w:tmpl w:val="00000002"/>
    <w:name w:val="RTF_Num 3"/>
    <w:lvl w:ilvl="0">
      <w:start w:val="1"/>
      <w:numFmt w:val="none"/>
      <w:suff w:val="nothing"/>
      <w:lvlText w:val="·"/>
      <w:lvlJc w:val="left"/>
      <w:pPr>
        <w:tabs>
          <w:tab w:val="num" w:pos="360"/>
        </w:tabs>
        <w:ind w:left="360" w:hanging="360"/>
      </w:pPr>
      <w:rPr>
        <w:rFonts w:ascii="Symbol" w:hAnsi="Symbol"/>
      </w:rPr>
    </w:lvl>
  </w:abstractNum>
  <w:abstractNum w:abstractNumId="2">
    <w:nsid w:val="00000003"/>
    <w:multiLevelType w:val="singleLevel"/>
    <w:tmpl w:val="00000003"/>
    <w:name w:val="RTF_Num 4"/>
    <w:lvl w:ilvl="0">
      <w:start w:val="1"/>
      <w:numFmt w:val="none"/>
      <w:suff w:val="nothing"/>
      <w:lvlText w:val="·"/>
      <w:lvlJc w:val="left"/>
      <w:pPr>
        <w:tabs>
          <w:tab w:val="num" w:pos="360"/>
        </w:tabs>
        <w:ind w:left="360" w:hanging="360"/>
      </w:pPr>
      <w:rPr>
        <w:rFonts w:ascii="Symbol" w:hAnsi="Symbol"/>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2CD65929"/>
    <w:multiLevelType w:val="hybridMultilevel"/>
    <w:tmpl w:val="9314E66A"/>
    <w:lvl w:ilvl="0" w:tplc="86C47BB6">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3A697FCE"/>
    <w:multiLevelType w:val="hybridMultilevel"/>
    <w:tmpl w:val="3D2E9810"/>
    <w:lvl w:ilvl="0" w:tplc="EB6C56EE">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7C2A3BCC"/>
    <w:multiLevelType w:val="hybridMultilevel"/>
    <w:tmpl w:val="9314E66A"/>
    <w:lvl w:ilvl="0" w:tplc="86C47BB6">
      <w:start w:val="1"/>
      <w:numFmt w:val="decimal"/>
      <w:lvlText w:val="%1."/>
      <w:lvlJc w:val="left"/>
      <w:pPr>
        <w:ind w:left="720" w:hanging="360"/>
      </w:pPr>
      <w:rPr>
        <w:rFonts w:hint="default"/>
        <w:b/>
        <w: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237E99"/>
    <w:rsid w:val="00237E99"/>
    <w:rsid w:val="002C1F59"/>
    <w:rsid w:val="00515DFD"/>
    <w:rsid w:val="005319AD"/>
    <w:rsid w:val="005565D0"/>
    <w:rsid w:val="00584E2D"/>
    <w:rsid w:val="00840982"/>
    <w:rsid w:val="00951B88"/>
    <w:rsid w:val="00A211B5"/>
    <w:rsid w:val="00BF1934"/>
    <w:rsid w:val="00F03B9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51B88"/>
    <w:pPr>
      <w:widowControl w:val="0"/>
      <w:suppressAutoHyphens/>
    </w:pPr>
    <w:rPr>
      <w:rFonts w:eastAsia="SimSun" w:cs="Tahoma"/>
      <w:kern w:val="1"/>
      <w:sz w:val="24"/>
      <w:szCs w:val="24"/>
      <w:lang w:eastAsia="hi-IN" w:bidi="hi-I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RTFNum21">
    <w:name w:val="RTF_Num 2 1"/>
    <w:rsid w:val="00951B88"/>
    <w:rPr>
      <w:rFonts w:ascii="Symbol" w:hAnsi="Symbol"/>
    </w:rPr>
  </w:style>
  <w:style w:type="character" w:customStyle="1" w:styleId="RTFNum31">
    <w:name w:val="RTF_Num 3 1"/>
    <w:rsid w:val="00951B88"/>
    <w:rPr>
      <w:rFonts w:ascii="Symbol" w:hAnsi="Symbol"/>
    </w:rPr>
  </w:style>
  <w:style w:type="character" w:customStyle="1" w:styleId="RTFNum41">
    <w:name w:val="RTF_Num 4 1"/>
    <w:rsid w:val="00951B88"/>
    <w:rPr>
      <w:rFonts w:ascii="Symbol" w:hAnsi="Symbol"/>
    </w:rPr>
  </w:style>
  <w:style w:type="paragraph" w:customStyle="1" w:styleId="Nagwek1">
    <w:name w:val="Nagłówek1"/>
    <w:basedOn w:val="Normalny"/>
    <w:next w:val="Tekstpodstawowy"/>
    <w:rsid w:val="00951B88"/>
    <w:pPr>
      <w:keepNext/>
      <w:spacing w:before="240" w:after="120"/>
    </w:pPr>
    <w:rPr>
      <w:rFonts w:ascii="Arial" w:hAnsi="Arial"/>
      <w:sz w:val="28"/>
      <w:szCs w:val="28"/>
    </w:rPr>
  </w:style>
  <w:style w:type="paragraph" w:styleId="Tekstpodstawowy">
    <w:name w:val="Body Text"/>
    <w:basedOn w:val="Normalny"/>
    <w:rsid w:val="00951B88"/>
    <w:pPr>
      <w:spacing w:after="120"/>
    </w:pPr>
  </w:style>
  <w:style w:type="paragraph" w:styleId="Lista">
    <w:name w:val="List"/>
    <w:basedOn w:val="Tekstpodstawowy"/>
    <w:rsid w:val="00951B88"/>
  </w:style>
  <w:style w:type="paragraph" w:customStyle="1" w:styleId="Podpis1">
    <w:name w:val="Podpis1"/>
    <w:basedOn w:val="Normalny"/>
    <w:rsid w:val="00951B88"/>
    <w:pPr>
      <w:suppressLineNumbers/>
      <w:spacing w:before="120" w:after="120"/>
    </w:pPr>
    <w:rPr>
      <w:i/>
      <w:iCs/>
    </w:rPr>
  </w:style>
  <w:style w:type="paragraph" w:customStyle="1" w:styleId="Indeks">
    <w:name w:val="Indeks"/>
    <w:basedOn w:val="Normalny"/>
    <w:rsid w:val="00951B88"/>
    <w:pPr>
      <w:suppressLineNumbers/>
    </w:pPr>
  </w:style>
  <w:style w:type="paragraph" w:customStyle="1" w:styleId="Default">
    <w:name w:val="Default"/>
    <w:rsid w:val="00237E99"/>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956</Words>
  <Characters>5738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Jarek</dc:creator>
  <cp:lastModifiedBy>Jarek</cp:lastModifiedBy>
  <cp:revision>2</cp:revision>
  <cp:lastPrinted>1601-01-01T00:00:00Z</cp:lastPrinted>
  <dcterms:created xsi:type="dcterms:W3CDTF">2018-12-09T20:35:00Z</dcterms:created>
  <dcterms:modified xsi:type="dcterms:W3CDTF">2018-12-09T20:35:00Z</dcterms:modified>
</cp:coreProperties>
</file>